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53"/>
        </w:trPr>
        <w:tc>
          <w:tcPr>
            <w:tcW w:w="2100" w:type="dxa"/>
            <w:vAlign w:val="bottom"/>
            <w:tcBorders>
              <w:top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Име, средње слово и</w:t>
            </w:r>
          </w:p>
        </w:tc>
        <w:tc>
          <w:tcPr>
            <w:tcW w:w="5380" w:type="dxa"/>
            <w:vAlign w:val="bottom"/>
            <w:tcBorders>
              <w:top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Марко Обрадовић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презиме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3"/>
        </w:trPr>
        <w:tc>
          <w:tcPr>
            <w:tcW w:w="2100" w:type="dxa"/>
            <w:vAlign w:val="bottom"/>
            <w:tcBorders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Картон научног</w:t>
            </w:r>
          </w:p>
        </w:tc>
        <w:tc>
          <w:tcPr>
            <w:tcW w:w="5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5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радника – број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58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Звање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Доцент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66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92CDDC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Ужа научна област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Вероватноћа и статистика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2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Академска каријера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  <w:shd w:val="clear" w:color="auto" w:fill="DAEEF3"/>
          </w:tcPr>
          <w:p>
            <w:pPr>
              <w:jc w:val="center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4"/>
              </w:rPr>
              <w:t>Година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  <w:shd w:val="clear" w:color="auto" w:fill="DAEEF3"/>
          </w:tcPr>
          <w:p>
            <w:pPr>
              <w:jc w:val="center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Институција</w:t>
            </w:r>
          </w:p>
        </w:tc>
      </w:tr>
      <w:tr>
        <w:trPr>
          <w:trHeight w:val="183"/>
        </w:trPr>
        <w:tc>
          <w:tcPr>
            <w:tcW w:w="210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9"/>
                <w:szCs w:val="19"/>
                <w:color w:val="auto"/>
              </w:rPr>
              <w:t>Избор у звање</w:t>
            </w:r>
          </w:p>
        </w:tc>
        <w:tc>
          <w:tcPr>
            <w:tcW w:w="5380" w:type="dxa"/>
            <w:vAlign w:val="bottom"/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2015</w:t>
            </w:r>
          </w:p>
        </w:tc>
        <w:tc>
          <w:tcPr>
            <w:tcW w:w="25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5"/>
                <w:szCs w:val="15"/>
                <w:color w:val="auto"/>
              </w:rPr>
              <w:t>Математички факултет у</w:t>
            </w:r>
          </w:p>
        </w:tc>
      </w:tr>
      <w:tr>
        <w:trPr>
          <w:trHeight w:val="269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20"/>
                <w:szCs w:val="20"/>
                <w:color w:val="auto"/>
              </w:rPr>
              <w:t>Београду</w:t>
            </w:r>
          </w:p>
        </w:tc>
      </w:tr>
      <w:tr>
        <w:trPr>
          <w:trHeight w:val="183"/>
        </w:trPr>
        <w:tc>
          <w:tcPr>
            <w:tcW w:w="210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9"/>
                <w:szCs w:val="19"/>
                <w:color w:val="auto"/>
              </w:rPr>
              <w:t>Докторат</w:t>
            </w:r>
          </w:p>
        </w:tc>
        <w:tc>
          <w:tcPr>
            <w:tcW w:w="5380" w:type="dxa"/>
            <w:vAlign w:val="bottom"/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2015</w:t>
            </w:r>
          </w:p>
        </w:tc>
        <w:tc>
          <w:tcPr>
            <w:tcW w:w="25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5"/>
                <w:szCs w:val="15"/>
                <w:color w:val="auto"/>
              </w:rPr>
              <w:t>Математички факултет у</w:t>
            </w:r>
          </w:p>
        </w:tc>
      </w:tr>
      <w:tr>
        <w:trPr>
          <w:trHeight w:val="269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20"/>
                <w:szCs w:val="20"/>
                <w:color w:val="auto"/>
              </w:rPr>
              <w:t>Београду</w:t>
            </w:r>
          </w:p>
        </w:tc>
      </w:tr>
      <w:tr>
        <w:trPr>
          <w:trHeight w:val="234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Специјализација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183"/>
        </w:trPr>
        <w:tc>
          <w:tcPr>
            <w:tcW w:w="210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9"/>
                <w:szCs w:val="19"/>
                <w:color w:val="auto"/>
              </w:rPr>
              <w:t>Магистратура/мастер</w:t>
            </w:r>
          </w:p>
        </w:tc>
        <w:tc>
          <w:tcPr>
            <w:tcW w:w="5380" w:type="dxa"/>
            <w:vAlign w:val="bottom"/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2007</w:t>
            </w:r>
          </w:p>
        </w:tc>
        <w:tc>
          <w:tcPr>
            <w:tcW w:w="25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5"/>
                <w:szCs w:val="15"/>
                <w:color w:val="auto"/>
              </w:rPr>
              <w:t>Математички факултет у</w:t>
            </w:r>
          </w:p>
        </w:tc>
      </w:tr>
      <w:tr>
        <w:trPr>
          <w:trHeight w:val="269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9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20"/>
                <w:szCs w:val="20"/>
                <w:color w:val="auto"/>
              </w:rPr>
              <w:t>Београду</w:t>
            </w:r>
          </w:p>
        </w:tc>
      </w:tr>
      <w:tr>
        <w:trPr>
          <w:trHeight w:val="180"/>
        </w:trPr>
        <w:tc>
          <w:tcPr>
            <w:tcW w:w="2100" w:type="dxa"/>
            <w:vAlign w:val="bottom"/>
            <w:tcBorders>
              <w:right w:val="single" w:sz="8" w:color="00000A"/>
            </w:tcBorders>
          </w:tcPr>
          <w:p>
            <w:pPr>
              <w:ind w:left="120"/>
              <w:spacing w:after="0" w:line="1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9"/>
                <w:szCs w:val="19"/>
                <w:color w:val="auto"/>
              </w:rPr>
              <w:t>Диплома</w:t>
            </w:r>
          </w:p>
        </w:tc>
        <w:tc>
          <w:tcPr>
            <w:tcW w:w="5380" w:type="dxa"/>
            <w:vAlign w:val="bottom"/>
          </w:tcPr>
          <w:p>
            <w:pPr>
              <w:ind w:left="100"/>
              <w:spacing w:after="0" w:line="1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2002</w:t>
            </w:r>
          </w:p>
        </w:tc>
        <w:tc>
          <w:tcPr>
            <w:tcW w:w="25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0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5"/>
                <w:szCs w:val="15"/>
                <w:color w:val="auto"/>
              </w:rPr>
              <w:t>Математички факултет у</w:t>
            </w:r>
          </w:p>
        </w:tc>
      </w:tr>
      <w:tr>
        <w:trPr>
          <w:trHeight w:val="272"/>
        </w:trPr>
        <w:tc>
          <w:tcPr>
            <w:tcW w:w="21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20"/>
                <w:szCs w:val="20"/>
                <w:color w:val="auto"/>
              </w:rPr>
              <w:t>Београду</w:t>
            </w:r>
          </w:p>
        </w:tc>
      </w:tr>
      <w:tr>
        <w:trPr>
          <w:trHeight w:val="258"/>
        </w:trPr>
        <w:tc>
          <w:tcPr>
            <w:tcW w:w="7480" w:type="dxa"/>
            <w:vAlign w:val="bottom"/>
            <w:tcBorders>
              <w:bottom w:val="single" w:sz="8" w:color="00000A"/>
            </w:tcBorders>
            <w:gridSpan w:val="2"/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Списак предмета које наставник држи у текућој школској години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42"/>
        </w:trPr>
        <w:tc>
          <w:tcPr>
            <w:tcW w:w="210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Р.б.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jc w:val="center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Назив предмета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jc w:val="center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8"/>
              </w:rPr>
              <w:t>Врста студија</w:t>
            </w:r>
          </w:p>
        </w:tc>
      </w:tr>
      <w:tr>
        <w:trPr>
          <w:trHeight w:val="234"/>
        </w:trPr>
        <w:tc>
          <w:tcPr>
            <w:tcW w:w="210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1.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jc w:val="center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Математичка статистика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Основне академске</w:t>
            </w:r>
          </w:p>
        </w:tc>
      </w:tr>
      <w:tr>
        <w:trPr>
          <w:trHeight w:val="234"/>
        </w:trPr>
        <w:tc>
          <w:tcPr>
            <w:tcW w:w="210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2.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jc w:val="center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8"/>
              </w:rPr>
              <w:t>Теорија информације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Основне академске</w:t>
            </w:r>
          </w:p>
        </w:tc>
      </w:tr>
      <w:tr>
        <w:trPr>
          <w:trHeight w:val="234"/>
        </w:trPr>
        <w:tc>
          <w:tcPr>
            <w:tcW w:w="210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3.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jc w:val="center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Одабрана поглавља математичке статистике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Мастер академске студије</w:t>
            </w:r>
          </w:p>
        </w:tc>
      </w:tr>
      <w:tr>
        <w:trPr>
          <w:trHeight w:val="234"/>
        </w:trPr>
        <w:tc>
          <w:tcPr>
            <w:tcW w:w="210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4.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jc w:val="center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Математичка статистика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Докторске студије</w:t>
            </w:r>
          </w:p>
        </w:tc>
      </w:tr>
      <w:tr>
        <w:trPr>
          <w:trHeight w:val="234"/>
        </w:trPr>
        <w:tc>
          <w:tcPr>
            <w:tcW w:w="210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5.</w:t>
            </w:r>
          </w:p>
        </w:tc>
        <w:tc>
          <w:tcPr>
            <w:tcW w:w="5380" w:type="dxa"/>
            <w:vAlign w:val="bottom"/>
            <w:tcBorders>
              <w:bottom w:val="single" w:sz="8" w:color="00000A"/>
            </w:tcBorders>
          </w:tcPr>
          <w:p>
            <w:pPr>
              <w:jc w:val="center"/>
              <w:spacing w:after="0" w:line="23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  <w:w w:val="99"/>
              </w:rPr>
              <w:t>Биостатистика</w:t>
            </w: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8"/>
                <w:szCs w:val="18"/>
                <w:color w:val="auto"/>
              </w:rPr>
              <w:t>Основне академске</w:t>
            </w:r>
          </w:p>
        </w:tc>
      </w:tr>
      <w:tr>
        <w:trPr>
          <w:trHeight w:val="233"/>
        </w:trPr>
        <w:tc>
          <w:tcPr>
            <w:tcW w:w="21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Најзначајнији</w:t>
            </w:r>
          </w:p>
        </w:tc>
        <w:tc>
          <w:tcPr>
            <w:tcW w:w="5380" w:type="dxa"/>
            <w:vAlign w:val="bottom"/>
            <w:shd w:val="clear" w:color="auto" w:fill="DAEEF3"/>
          </w:tcPr>
          <w:p>
            <w:pPr>
              <w:jc w:val="center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М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4"/>
        </w:trPr>
        <w:tc>
          <w:tcPr>
            <w:tcW w:w="21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радови у складу са</w:t>
            </w:r>
          </w:p>
        </w:tc>
        <w:tc>
          <w:tcPr>
            <w:tcW w:w="5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4"/>
        </w:trPr>
        <w:tc>
          <w:tcPr>
            <w:tcW w:w="21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захтевима допунских</w:t>
            </w:r>
          </w:p>
        </w:tc>
        <w:tc>
          <w:tcPr>
            <w:tcW w:w="5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4"/>
        </w:trPr>
        <w:tc>
          <w:tcPr>
            <w:tcW w:w="21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стандарда за дато</w:t>
            </w:r>
          </w:p>
        </w:tc>
        <w:tc>
          <w:tcPr>
            <w:tcW w:w="5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4"/>
        </w:trPr>
        <w:tc>
          <w:tcPr>
            <w:tcW w:w="21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поље (минимално 10</w:t>
            </w:r>
          </w:p>
        </w:tc>
        <w:tc>
          <w:tcPr>
            <w:tcW w:w="5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6"/>
        </w:trPr>
        <w:tc>
          <w:tcPr>
            <w:tcW w:w="2100" w:type="dxa"/>
            <w:vAlign w:val="bottom"/>
            <w:tcBorders>
              <w:right w:val="single" w:sz="8" w:color="DAEEF3"/>
            </w:tcBorders>
            <w:shd w:val="clear" w:color="auto" w:fill="DAEEF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b w:val="1"/>
                <w:bCs w:val="1"/>
                <w:color w:val="auto"/>
              </w:rPr>
              <w:t>не више од 20)</w:t>
            </w:r>
          </w:p>
        </w:tc>
        <w:tc>
          <w:tcPr>
            <w:tcW w:w="5380" w:type="dxa"/>
            <w:vAlign w:val="bottom"/>
            <w:shd w:val="clear" w:color="auto" w:fill="DAEEF3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-4601845</wp:posOffset>
            </wp:positionV>
            <wp:extent cx="6384290" cy="823976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823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78" w:lineRule="exact"/>
        <w:rPr>
          <w:sz w:val="24"/>
          <w:szCs w:val="24"/>
          <w:color w:val="auto"/>
        </w:rPr>
      </w:pPr>
    </w:p>
    <w:tbl>
      <w:tblPr>
        <w:tblLayout w:type="fixed"/>
        <w:tblInd w:w="262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9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1.</w:t>
            </w: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M. Cuparić, B. Milošević and M.Obradović. New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2"/>
              </w:rPr>
              <w:t>M22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0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500" w:type="dxa"/>
            <w:vAlign w:val="bottom"/>
            <w:vMerge w:val="restart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L2-type exponentiality tests. SORT, 2019.</w:t>
            </w: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4500" w:type="dxa"/>
            <w:vAlign w:val="bottom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Accepted for publication.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240" w:type="dxa"/>
            <w:vAlign w:val="bottom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2.</w:t>
            </w: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V. Božin, B. Milošević, Ya. Yu. Nikitin, and</w:t>
            </w:r>
          </w:p>
        </w:tc>
        <w:tc>
          <w:tcPr>
            <w:tcW w:w="52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  <w:w w:val="93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3"/>
              </w:rPr>
              <w:t>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7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 w:line="25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M. Obradović. New characterization based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0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 xml:space="preserve">symmetry tests.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00000A"/>
              </w:rPr>
              <w:t>Bulletin of the Malaysian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00000A"/>
              </w:rPr>
              <w:t>Mathematical Sciences Society</w:t>
            </w: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, 2018.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00000A"/>
              </w:rPr>
              <w:t>DOI:10.1007/s40840-018-0680-3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  <w:w w:val="93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3"/>
              </w:rPr>
              <w:t>23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240" w:type="dxa"/>
            <w:vAlign w:val="bottom"/>
          </w:tcPr>
          <w:p>
            <w:pPr>
              <w:spacing w:after="0" w:line="27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3.</w:t>
            </w: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B. Milošević and M. Obradović. Comparison of</w:t>
            </w: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9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 w:line="25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efficiencies of some symmetry tests around an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 xml:space="preserve">unknown center.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Statistics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, 2018.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DOI:10.1080/02331888.2018.1526938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  <w:w w:val="93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3"/>
              </w:rPr>
              <w:t>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240" w:type="dxa"/>
            <w:vAlign w:val="bottom"/>
          </w:tcPr>
          <w:p>
            <w:pPr>
              <w:spacing w:after="0" w:line="27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4.</w:t>
            </w: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S.G. Meintanis, B. Milošević, and M. Obradović.</w:t>
            </w: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9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 w:line="25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Goodness-of-fit tests in conditional duration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 xml:space="preserve">models.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Statistical Papers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, 2017.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DOI:10.1007/s00362-017-0930-8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240" w:type="dxa"/>
            <w:vAlign w:val="bottom"/>
          </w:tcPr>
          <w:p>
            <w:pPr>
              <w:spacing w:after="0" w:line="27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5.</w:t>
            </w: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J. Burazerović, M. Orlova, M. Obradović,</w:t>
            </w:r>
          </w:p>
        </w:tc>
        <w:tc>
          <w:tcPr>
            <w:tcW w:w="52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  <w:w w:val="93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  <w:w w:val="93"/>
              </w:rPr>
              <w:t>21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0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D. Ćirović, and S. Tomanović. Patterns of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Abundance and Host Specificity of Bat</w:t>
            </w: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198" w:lineRule="exact"/>
        <w:rPr>
          <w:sz w:val="24"/>
          <w:szCs w:val="24"/>
          <w:color w:val="auto"/>
        </w:rPr>
      </w:pPr>
    </w:p>
    <w:p>
      <w:pPr>
        <w:sectPr>
          <w:pgSz w:w="12240" w:h="15840" w:orient="portrait"/>
          <w:cols w:equalWidth="0" w:num="1">
            <w:col w:w="10040"/>
          </w:cols>
          <w:pgMar w:left="1020" w:top="1113" w:right="1180" w:bottom="845" w:gutter="0" w:footer="0" w:header="0"/>
        </w:sect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</w:t>
      </w:r>
    </w:p>
    <w:p>
      <w:pPr>
        <w:sectPr>
          <w:pgSz w:w="12240" w:h="15840" w:orient="portrait"/>
          <w:cols w:equalWidth="0" w:num="1">
            <w:col w:w="10040"/>
          </w:cols>
          <w:pgMar w:left="1020" w:top="1113" w:right="1180" w:bottom="845" w:gutter="0" w:footer="0" w:header="0"/>
          <w:type w:val="continuous"/>
        </w:sectPr>
      </w:pPr>
    </w:p>
    <w:bookmarkStart w:id="1" w:name="page2"/>
    <w:bookmarkEnd w:id="1"/>
    <w:p>
      <w:pPr>
        <w:ind w:left="2780" w:right="280"/>
        <w:spacing w:after="0" w:line="250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 xml:space="preserve">Ectoparasites in the Central Balkans.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Journal of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Medical Entomology</w:t>
      </w:r>
      <w:r>
        <w:rPr>
          <w:rFonts w:ascii="Calibri" w:cs="Calibri" w:eastAsia="Calibri" w:hAnsi="Calibri"/>
          <w:sz w:val="22"/>
          <w:szCs w:val="22"/>
          <w:color w:val="auto"/>
        </w:rPr>
        <w:t>, 55(1):20-28, 2018.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-76835</wp:posOffset>
            </wp:positionH>
            <wp:positionV relativeFrom="paragraph">
              <wp:posOffset>-353060</wp:posOffset>
            </wp:positionV>
            <wp:extent cx="6384290" cy="84277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8427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780" w:right="20" w:hanging="274"/>
        <w:spacing w:after="0" w:line="239" w:lineRule="auto"/>
        <w:tabs>
          <w:tab w:leader="none" w:pos="27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 xml:space="preserve">B. Milošević and M. Obradović. New class of exponentiality tests based on U-empirical Laplace transform.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Statistical Papers</w:t>
      </w:r>
      <w:r>
        <w:rPr>
          <w:rFonts w:ascii="Calibri" w:cs="Calibri" w:eastAsia="Calibri" w:hAnsi="Calibri"/>
          <w:sz w:val="22"/>
          <w:szCs w:val="22"/>
          <w:color w:val="auto"/>
        </w:rPr>
        <w:t>, 57(4):977-990, 2016.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780" w:right="160" w:hanging="274"/>
        <w:spacing w:after="0" w:line="239" w:lineRule="auto"/>
        <w:tabs>
          <w:tab w:leader="none" w:pos="27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 xml:space="preserve">B. Milošević and M. Obradović. Characterization based symmetry tests and their asymptotic efficiencies.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Statistics and Probability Letters</w:t>
      </w:r>
      <w:r>
        <w:rPr>
          <w:rFonts w:ascii="Calibri" w:cs="Calibri" w:eastAsia="Calibri" w:hAnsi="Calibri"/>
          <w:sz w:val="22"/>
          <w:szCs w:val="22"/>
          <w:color w:val="auto"/>
        </w:rPr>
        <w:t>, 119:155-162, 2016.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780" w:hanging="274"/>
        <w:spacing w:after="0" w:line="239" w:lineRule="auto"/>
        <w:tabs>
          <w:tab w:leader="none" w:pos="27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 xml:space="preserve">B. Milošević and M. Obradović. Some characterization based exponentiality tests and their Bahadur efficiencies.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Publications de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l'Institut Mathématique</w:t>
      </w:r>
      <w:r>
        <w:rPr>
          <w:rFonts w:ascii="Calibri" w:cs="Calibri" w:eastAsia="Calibri" w:hAnsi="Calibri"/>
          <w:sz w:val="22"/>
          <w:szCs w:val="22"/>
          <w:color w:val="auto"/>
        </w:rPr>
        <w:t>, 100(114):107-117, 2016.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2780" w:right="60" w:hanging="274"/>
        <w:spacing w:after="0" w:line="239" w:lineRule="auto"/>
        <w:tabs>
          <w:tab w:leader="none" w:pos="27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 xml:space="preserve">B. Milošević and M. Obradović. Some characterizations of the exponential distribution based on order statistics.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Applicable Analysis and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Discrete Mathematics</w:t>
      </w:r>
      <w:r>
        <w:rPr>
          <w:rFonts w:ascii="Calibri" w:cs="Calibri" w:eastAsia="Calibri" w:hAnsi="Calibri"/>
          <w:sz w:val="22"/>
          <w:szCs w:val="22"/>
          <w:color w:val="auto"/>
        </w:rPr>
        <w:t>, 10(2):394-407, 2016.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2780" w:right="80" w:hanging="281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10.</w:t>
      </w:r>
      <w:r>
        <w:rPr>
          <w:rFonts w:ascii="Calibri" w:cs="Calibri" w:eastAsia="Calibri" w:hAnsi="Calibri"/>
          <w:sz w:val="22"/>
          <w:szCs w:val="22"/>
          <w:color w:val="auto"/>
        </w:rPr>
        <w:t>B. Milošević and M. Obradović. Two-dimensional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Kolmogorov-type goodness-of-fit tests based on characterizations and their asymptotic efficiencies.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Journal of Nonparametric Statistics</w:t>
      </w:r>
      <w:r>
        <w:rPr>
          <w:rFonts w:ascii="Calibri" w:cs="Calibri" w:eastAsia="Calibri" w:hAnsi="Calibri"/>
          <w:sz w:val="22"/>
          <w:szCs w:val="22"/>
          <w:color w:val="auto"/>
        </w:rPr>
        <w:t>, 28(2):413-427, 2016.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jc w:val="both"/>
        <w:ind w:left="2780" w:right="700" w:hanging="281"/>
        <w:spacing w:after="0" w:line="24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11.</w:t>
      </w:r>
      <w:r>
        <w:rPr>
          <w:rFonts w:ascii="Calibri" w:cs="Calibri" w:eastAsia="Calibri" w:hAnsi="Calibri"/>
          <w:sz w:val="21"/>
          <w:szCs w:val="21"/>
          <w:color w:val="auto"/>
        </w:rPr>
        <w:t>M. Jovanović, B. Milošević, Ya. Yu. Nikitin,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</w:t>
      </w:r>
      <w:r>
        <w:rPr>
          <w:rFonts w:ascii="Calibri" w:cs="Calibri" w:eastAsia="Calibri" w:hAnsi="Calibri"/>
          <w:sz w:val="21"/>
          <w:szCs w:val="21"/>
          <w:color w:val="auto"/>
        </w:rPr>
        <w:t>M. Obradović, and K. Yu. Volkova. Tests of exponentiality based on Arnold-Villasenor characterization and their efficiencies.</w:t>
      </w:r>
    </w:p>
    <w:p>
      <w:pPr>
        <w:spacing w:after="0" w:line="3" w:lineRule="exact"/>
        <w:rPr>
          <w:sz w:val="20"/>
          <w:szCs w:val="20"/>
          <w:color w:val="auto"/>
        </w:rPr>
      </w:pPr>
    </w:p>
    <w:p>
      <w:pPr>
        <w:ind w:left="2780" w:right="560"/>
        <w:spacing w:after="0" w:line="250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Computational Statistics and Data Analysis</w:t>
      </w:r>
      <w:r>
        <w:rPr>
          <w:rFonts w:ascii="Calibri" w:cs="Calibri" w:eastAsia="Calibri" w:hAnsi="Calibri"/>
          <w:sz w:val="22"/>
          <w:szCs w:val="22"/>
          <w:color w:val="auto"/>
        </w:rPr>
        <w:t>,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color w:val="auto"/>
        </w:rPr>
        <w:t>90:100-113, 2015.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2780" w:right="40" w:hanging="281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12.</w:t>
      </w:r>
      <w:r>
        <w:rPr>
          <w:rFonts w:ascii="Calibri" w:cs="Calibri" w:eastAsia="Calibri" w:hAnsi="Calibri"/>
          <w:sz w:val="22"/>
          <w:szCs w:val="22"/>
          <w:color w:val="auto"/>
        </w:rPr>
        <w:t>M. Obradović. On asymptotic efficiency of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goodness of fit tests for Pareto distribution based on characterizations.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Filomat</w:t>
      </w:r>
      <w:r>
        <w:rPr>
          <w:rFonts w:ascii="Calibri" w:cs="Calibri" w:eastAsia="Calibri" w:hAnsi="Calibri"/>
          <w:sz w:val="22"/>
          <w:szCs w:val="22"/>
          <w:color w:val="auto"/>
        </w:rPr>
        <w:t>, 29(10):2311-2324, 2015.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2780" w:right="80" w:hanging="281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13.</w:t>
      </w:r>
      <w:r>
        <w:rPr>
          <w:rFonts w:ascii="Calibri" w:cs="Calibri" w:eastAsia="Calibri" w:hAnsi="Calibri"/>
          <w:sz w:val="22"/>
          <w:szCs w:val="22"/>
          <w:color w:val="auto"/>
        </w:rPr>
        <w:t>M. Obradović. Three characterizations of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exponential distribution involving median of sample of size three.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Journal of Statistical Theory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and Applications</w:t>
      </w:r>
      <w:r>
        <w:rPr>
          <w:rFonts w:ascii="Calibri" w:cs="Calibri" w:eastAsia="Calibri" w:hAnsi="Calibri"/>
          <w:sz w:val="22"/>
          <w:szCs w:val="22"/>
          <w:color w:val="auto"/>
        </w:rPr>
        <w:t>, 14(3):257-264, 2015.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2780" w:right="160" w:hanging="281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14.</w:t>
      </w:r>
      <w:r>
        <w:rPr>
          <w:rFonts w:ascii="Calibri" w:cs="Calibri" w:eastAsia="Calibri" w:hAnsi="Calibri"/>
          <w:sz w:val="22"/>
          <w:szCs w:val="22"/>
          <w:color w:val="auto"/>
        </w:rPr>
        <w:t>M. Obradović, M. Jovanović, and B. Milošević.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Goodness-of-fit tests for Pareto distribution and their asymptotic efficiencies.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Statistics</w:t>
      </w:r>
      <w:r>
        <w:rPr>
          <w:rFonts w:ascii="Calibri" w:cs="Calibri" w:eastAsia="Calibri" w:hAnsi="Calibri"/>
          <w:sz w:val="22"/>
          <w:szCs w:val="22"/>
          <w:color w:val="auto"/>
        </w:rPr>
        <w:t>, 49(5):1026-1041, 2015.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2780" w:right="40" w:hanging="281"/>
        <w:spacing w:after="0" w:line="23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15.</w:t>
      </w:r>
      <w:r>
        <w:rPr>
          <w:rFonts w:ascii="Calibri" w:cs="Calibri" w:eastAsia="Calibri" w:hAnsi="Calibri"/>
          <w:sz w:val="22"/>
          <w:szCs w:val="22"/>
          <w:color w:val="auto"/>
        </w:rPr>
        <w:t>M. Obradović, M. Jovanović, B. Milošević, and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V. Jevremović. Estimation of P{X &lt;=Y} for geometric-Poisson model.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Hacettepe Journal of</w:t>
      </w:r>
      <w:r>
        <w:rPr>
          <w:rFonts w:ascii="Calibri" w:cs="Calibri" w:eastAsia="Calibri" w:hAnsi="Calibri"/>
          <w:sz w:val="22"/>
          <w:szCs w:val="22"/>
          <w:color w:val="auto"/>
        </w:rPr>
        <w:t xml:space="preserve"> </w:t>
      </w:r>
      <w:r>
        <w:rPr>
          <w:rFonts w:ascii="Calibri" w:cs="Calibri" w:eastAsia="Calibri" w:hAnsi="Calibri"/>
          <w:sz w:val="22"/>
          <w:szCs w:val="22"/>
          <w:i w:val="1"/>
          <w:iCs w:val="1"/>
          <w:color w:val="auto"/>
        </w:rPr>
        <w:t>Mathematics and Statistics</w:t>
      </w:r>
      <w:r>
        <w:rPr>
          <w:rFonts w:ascii="Calibri" w:cs="Calibri" w:eastAsia="Calibri" w:hAnsi="Calibri"/>
          <w:sz w:val="22"/>
          <w:szCs w:val="22"/>
          <w:color w:val="auto"/>
        </w:rPr>
        <w:t>, 44(4):949-964, 2015.</w:t>
      </w:r>
    </w:p>
    <w:p>
      <w:pPr>
        <w:ind w:left="2500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16.</w:t>
      </w:r>
      <w:r>
        <w:rPr>
          <w:rFonts w:ascii="Calibri" w:cs="Calibri" w:eastAsia="Calibri" w:hAnsi="Calibri"/>
          <w:sz w:val="22"/>
          <w:szCs w:val="22"/>
          <w:color w:val="auto"/>
        </w:rPr>
        <w:t>K. Ilijević, M. Obradović, V. Jevremović, and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2780" w:right="260"/>
        <w:spacing w:after="0" w:line="272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1"/>
          <w:szCs w:val="21"/>
          <w:color w:val="auto"/>
        </w:rPr>
        <w:t>I. Gržetić. Statistical analysis of the influence of major tributaries to the eco-chemical status of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32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22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51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21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23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Lucida Sans Unicode" w:cs="Lucida Sans Unicode" w:eastAsia="Lucida Sans Unicode" w:hAnsi="Lucida Sans Unicode"/>
          <w:sz w:val="16"/>
          <w:szCs w:val="16"/>
          <w:color w:val="auto"/>
        </w:rPr>
        <w:t>М</w:t>
      </w:r>
      <w:r>
        <w:rPr>
          <w:rFonts w:ascii="Times New Roman" w:cs="Times New Roman" w:eastAsia="Times New Roman" w:hAnsi="Times New Roman"/>
          <w:sz w:val="16"/>
          <w:szCs w:val="16"/>
          <w:color w:val="auto"/>
        </w:rPr>
        <w:t>22</w:t>
      </w:r>
    </w:p>
    <w:p>
      <w:pPr>
        <w:spacing w:after="0" w:line="555" w:lineRule="exact"/>
        <w:rPr>
          <w:sz w:val="20"/>
          <w:szCs w:val="20"/>
          <w:color w:val="auto"/>
        </w:rPr>
      </w:pPr>
    </w:p>
    <w:p>
      <w:pPr>
        <w:sectPr>
          <w:pgSz w:w="12240" w:h="15840" w:orient="portrait"/>
          <w:cols w:equalWidth="0" w:num="2">
            <w:col w:w="7220" w:space="240"/>
            <w:col w:w="2200"/>
          </w:cols>
          <w:pgMar w:left="1140" w:top="1131" w:right="1440" w:bottom="575" w:gutter="0" w:footer="0" w:header="0"/>
        </w:sect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</w:p>
    <w:p>
      <w:pPr>
        <w:sectPr>
          <w:pgSz w:w="12240" w:h="15840" w:orient="portrait"/>
          <w:cols w:equalWidth="0" w:num="1">
            <w:col w:w="9660"/>
          </w:cols>
          <w:pgMar w:left="1140" w:top="1131" w:right="1440" w:bottom="575" w:gutter="0" w:footer="0" w:header="0"/>
          <w:type w:val="continuous"/>
        </w:sectPr>
      </w:pPr>
    </w:p>
    <w:bookmarkStart w:id="2" w:name="page3"/>
    <w:bookmarkEnd w:id="2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0"/>
        </w:trPr>
        <w:tc>
          <w:tcPr>
            <w:tcW w:w="7480" w:type="dxa"/>
            <w:vAlign w:val="bottom"/>
            <w:tcBorders>
              <w:top w:val="single" w:sz="8" w:color="00000A"/>
            </w:tcBorders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 xml:space="preserve">the Danube river.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Environmental Monitoring and</w:t>
            </w:r>
          </w:p>
        </w:tc>
        <w:tc>
          <w:tcPr>
            <w:tcW w:w="2560" w:type="dxa"/>
            <w:vAlign w:val="bottom"/>
            <w:tcBorders>
              <w:top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9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Assessment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, 187(9), 2015.</w:t>
            </w:r>
          </w:p>
        </w:tc>
        <w:tc>
          <w:tcPr>
            <w:tcW w:w="256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51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7480" w:type="dxa"/>
            <w:vAlign w:val="bottom"/>
          </w:tcPr>
          <w:p>
            <w:pPr>
              <w:ind w:left="26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17.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M. Obradović, M. Jovanović, and B. Milošević.</w:t>
            </w:r>
          </w:p>
        </w:tc>
        <w:tc>
          <w:tcPr>
            <w:tcW w:w="2560" w:type="dxa"/>
            <w:vAlign w:val="bottom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7"/>
        </w:trPr>
        <w:tc>
          <w:tcPr>
            <w:tcW w:w="7480" w:type="dxa"/>
            <w:vAlign w:val="bottom"/>
          </w:tcPr>
          <w:p>
            <w:pPr>
              <w:ind w:left="2900"/>
              <w:spacing w:after="0" w:line="257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Optimal unbiased estimates of P{X &lt; Y } for some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0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 xml:space="preserve">families of distributions.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Metodološki zvezki -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Advances in Methodology and Statistics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, 11(1):21-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8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29, 2014.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7480" w:type="dxa"/>
            <w:vAlign w:val="bottom"/>
          </w:tcPr>
          <w:p>
            <w:pPr>
              <w:ind w:left="26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18.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V. Jevremović and M. Obradović. Bertrand's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0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 xml:space="preserve">paradox: is there anything else?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Quality &amp;</w:t>
            </w:r>
          </w:p>
        </w:tc>
        <w:tc>
          <w:tcPr>
            <w:tcW w:w="25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9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Quantity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, 46(6):1709-1714, 2012.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7480" w:type="dxa"/>
            <w:vAlign w:val="bottom"/>
          </w:tcPr>
          <w:p>
            <w:pPr>
              <w:ind w:left="26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19.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M. Unkašević, I. Tošić, and M. Obradović. Spectral</w:t>
            </w:r>
          </w:p>
        </w:tc>
        <w:tc>
          <w:tcPr>
            <w:tcW w:w="2560" w:type="dxa"/>
            <w:vAlign w:val="bottom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Lucida Sans Unicode" w:cs="Lucida Sans Unicode" w:eastAsia="Lucida Sans Unicode" w:hAnsi="Lucida Sans Unicode"/>
                <w:sz w:val="16"/>
                <w:szCs w:val="16"/>
                <w:color w:val="auto"/>
              </w:rPr>
              <w:t>М</w:t>
            </w:r>
            <w:r>
              <w:rPr>
                <w:rFonts w:ascii="Times New Roman" w:cs="Times New Roman" w:eastAsia="Times New Roman" w:hAnsi="Times New Roman"/>
                <w:sz w:val="16"/>
                <w:szCs w:val="16"/>
                <w:color w:val="auto"/>
              </w:rPr>
              <w:t>22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5"/>
        </w:trPr>
        <w:tc>
          <w:tcPr>
            <w:tcW w:w="7480" w:type="dxa"/>
            <w:vAlign w:val="bottom"/>
            <w:vMerge w:val="restart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 xml:space="preserve">analysis of the "Koshava" wind. </w:t>
            </w: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Theoretical and</w:t>
            </w:r>
          </w:p>
        </w:tc>
        <w:tc>
          <w:tcPr>
            <w:tcW w:w="256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748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9"/>
        </w:trPr>
        <w:tc>
          <w:tcPr>
            <w:tcW w:w="7480" w:type="dxa"/>
            <w:vAlign w:val="bottom"/>
          </w:tcPr>
          <w:p>
            <w:pPr>
              <w:ind w:left="2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i w:val="1"/>
                <w:iCs w:val="1"/>
                <w:color w:val="auto"/>
              </w:rPr>
              <w:t>Applied Climatology</w:t>
            </w: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, 89(3-4):239-244, 2007.</w:t>
            </w:r>
          </w:p>
        </w:tc>
        <w:tc>
          <w:tcPr>
            <w:tcW w:w="2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-2258695</wp:posOffset>
            </wp:positionV>
            <wp:extent cx="6384290" cy="44323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0" cy="443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866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0"/>
          <w:szCs w:val="20"/>
          <w:b w:val="1"/>
          <w:bCs w:val="1"/>
          <w:color w:val="auto"/>
        </w:rPr>
        <w:t xml:space="preserve"> Збирни подаци научне активности наставника</w:t>
      </w:r>
    </w:p>
    <w:p>
      <w:pPr>
        <w:spacing w:after="0" w:line="3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44"/>
        </w:trPr>
        <w:tc>
          <w:tcPr>
            <w:tcW w:w="20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Укупан број цитата,</w:t>
            </w:r>
          </w:p>
        </w:tc>
        <w:tc>
          <w:tcPr>
            <w:tcW w:w="5400" w:type="dxa"/>
            <w:vAlign w:val="bottom"/>
          </w:tcPr>
          <w:p>
            <w:pPr>
              <w:jc w:val="right"/>
              <w:ind w:right="4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32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6"/>
        </w:trPr>
        <w:tc>
          <w:tcPr>
            <w:tcW w:w="208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без аутоцитата</w:t>
            </w:r>
          </w:p>
        </w:tc>
        <w:tc>
          <w:tcPr>
            <w:tcW w:w="540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2"/>
        </w:trPr>
        <w:tc>
          <w:tcPr>
            <w:tcW w:w="2080" w:type="dxa"/>
            <w:vAlign w:val="bottom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Укупан број радова</w:t>
            </w:r>
          </w:p>
        </w:tc>
        <w:tc>
          <w:tcPr>
            <w:tcW w:w="5400" w:type="dxa"/>
            <w:vAlign w:val="bottom"/>
          </w:tcPr>
          <w:p>
            <w:pPr>
              <w:jc w:val="right"/>
              <w:ind w:right="498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17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6"/>
        </w:trPr>
        <w:tc>
          <w:tcPr>
            <w:tcW w:w="208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са SCI (или SSCI) листе</w:t>
            </w:r>
          </w:p>
        </w:tc>
        <w:tc>
          <w:tcPr>
            <w:tcW w:w="540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32"/>
        </w:trPr>
        <w:tc>
          <w:tcPr>
            <w:tcW w:w="2080" w:type="dxa"/>
            <w:vAlign w:val="bottom"/>
          </w:tcPr>
          <w:p>
            <w:pPr>
              <w:ind w:left="120"/>
              <w:spacing w:after="0" w:line="23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Тренутно учешће на</w:t>
            </w:r>
          </w:p>
        </w:tc>
        <w:tc>
          <w:tcPr>
            <w:tcW w:w="5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46"/>
        </w:trPr>
        <w:tc>
          <w:tcPr>
            <w:tcW w:w="2080" w:type="dxa"/>
            <w:vAlign w:val="bottom"/>
            <w:tcBorders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пројектима</w:t>
            </w:r>
          </w:p>
        </w:tc>
        <w:tc>
          <w:tcPr>
            <w:tcW w:w="540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20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0"/>
                <w:szCs w:val="20"/>
                <w:color w:val="auto"/>
              </w:rPr>
              <w:t>Усавршавања</w:t>
            </w:r>
          </w:p>
        </w:tc>
        <w:tc>
          <w:tcPr>
            <w:tcW w:w="5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</w:tbl>
    <w:p>
      <w:pPr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11430" cy="1619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cs="Calibri" w:eastAsia="Calibri" w:hAnsi="Calibri"/>
          <w:sz w:val="20"/>
          <w:szCs w:val="20"/>
          <w:b w:val="1"/>
          <w:bCs w:val="1"/>
          <w:color w:val="auto"/>
        </w:rPr>
        <w:t xml:space="preserve"> Други подаци које сматрате релевантним</w:t>
      </w:r>
    </w:p>
    <w:p>
      <w:pPr>
        <w:sectPr>
          <w:pgSz w:w="12240" w:h="15840" w:orient="portrait"/>
          <w:cols w:equalWidth="0" w:num="1">
            <w:col w:w="10040"/>
          </w:cols>
          <w:pgMar w:left="1020" w:top="1111" w:right="1180" w:bottom="84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3</w:t>
      </w:r>
    </w:p>
    <w:sectPr>
      <w:pgSz w:w="12240" w:h="15840" w:orient="portrait"/>
      <w:cols w:equalWidth="0" w:num="1">
        <w:col w:w="10040"/>
      </w:cols>
      <w:pgMar w:left="1020" w:top="1111" w:right="1180" w:bottom="845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auto"/>
    <w:pitch w:val="variable"/>
    <w:sig w:usb0="80001AFF" w:usb1="0000396B" w:usb2="00000000" w:usb3="00000000" w:csb0="200000BF" w:csb1="D7F7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."/>
      <w:numFmt w:val="decimal"/>
      <w:start w:val="6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2019-01-29T07:34:35Z</dcterms:created>
  <dcterms:modified xsi:type="dcterms:W3CDTF">2019-01-29T07:34:35Z</dcterms:modified>
</cp:coreProperties>
</file>